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15" w:rsidRPr="006E1449" w:rsidRDefault="00520015" w:rsidP="00520015">
      <w:pPr>
        <w:jc w:val="center"/>
        <w:rPr>
          <w:sz w:val="96"/>
          <w:szCs w:val="96"/>
        </w:rPr>
      </w:pPr>
      <w:r>
        <w:rPr>
          <w:noProof/>
          <w:sz w:val="96"/>
          <w:szCs w:val="96"/>
        </w:rPr>
        <w:drawing>
          <wp:inline distT="0" distB="0" distL="0" distR="0">
            <wp:extent cx="612181" cy="622300"/>
            <wp:effectExtent l="0" t="0" r="0" b="635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181" cy="622300"/>
                    </a:xfrm>
                    <a:prstGeom prst="rect">
                      <a:avLst/>
                    </a:prstGeom>
                    <a:noFill/>
                    <a:ln>
                      <a:noFill/>
                    </a:ln>
                  </pic:spPr>
                </pic:pic>
              </a:graphicData>
            </a:graphic>
          </wp:inline>
        </w:drawing>
      </w:r>
    </w:p>
    <w:p w:rsidR="00520015" w:rsidRPr="00520015" w:rsidRDefault="00520015" w:rsidP="00520015">
      <w:pPr>
        <w:pStyle w:val="Didascalia"/>
        <w:rPr>
          <w:b/>
          <w:sz w:val="28"/>
          <w:szCs w:val="28"/>
        </w:rPr>
      </w:pPr>
      <w:r w:rsidRPr="00520015">
        <w:rPr>
          <w:b/>
          <w:sz w:val="28"/>
          <w:szCs w:val="28"/>
        </w:rPr>
        <w:t>Tribunale Ordinario di Torino</w:t>
      </w:r>
    </w:p>
    <w:p w:rsidR="00942F10" w:rsidRDefault="0075104A"/>
    <w:p w:rsidR="00520015" w:rsidRDefault="00520015" w:rsidP="00520015">
      <w:pPr>
        <w:spacing w:line="360" w:lineRule="auto"/>
        <w:outlineLvl w:val="0"/>
        <w:rPr>
          <w:b/>
          <w:bCs/>
          <w:kern w:val="36"/>
        </w:rPr>
      </w:pPr>
    </w:p>
    <w:p w:rsidR="00520015" w:rsidRPr="00520015" w:rsidRDefault="00520015" w:rsidP="00520015">
      <w:pPr>
        <w:spacing w:line="360" w:lineRule="auto"/>
        <w:outlineLvl w:val="0"/>
        <w:rPr>
          <w:b/>
          <w:bCs/>
          <w:kern w:val="36"/>
        </w:rPr>
      </w:pPr>
      <w:r w:rsidRPr="00520015">
        <w:rPr>
          <w:b/>
          <w:bCs/>
          <w:kern w:val="36"/>
        </w:rPr>
        <w:t>Articolo 485</w:t>
      </w:r>
      <w:r>
        <w:rPr>
          <w:b/>
          <w:bCs/>
          <w:kern w:val="36"/>
        </w:rPr>
        <w:t xml:space="preserve"> </w:t>
      </w:r>
      <w:r w:rsidRPr="00520015">
        <w:rPr>
          <w:b/>
          <w:bCs/>
        </w:rPr>
        <w:t>Codice Civile</w:t>
      </w:r>
    </w:p>
    <w:p w:rsidR="00520015" w:rsidRDefault="00520015" w:rsidP="00520015">
      <w:pPr>
        <w:spacing w:line="360" w:lineRule="auto"/>
        <w:outlineLvl w:val="2"/>
        <w:rPr>
          <w:b/>
          <w:bCs/>
        </w:rPr>
      </w:pPr>
      <w:r w:rsidRPr="00520015">
        <w:rPr>
          <w:b/>
          <w:bCs/>
        </w:rPr>
        <w:t>Chiamato all'eredità che è nel possesso di beni</w:t>
      </w:r>
    </w:p>
    <w:p w:rsidR="00520015" w:rsidRDefault="00520015" w:rsidP="00520015">
      <w:pPr>
        <w:spacing w:line="360" w:lineRule="auto"/>
        <w:outlineLvl w:val="2"/>
        <w:rPr>
          <w:b/>
          <w:bCs/>
        </w:rPr>
      </w:pPr>
    </w:p>
    <w:p w:rsidR="00520015" w:rsidRPr="00520015" w:rsidRDefault="0075104A" w:rsidP="00520015">
      <w:hyperlink r:id="rId6" w:anchor="nota_15984" w:history="1">
        <w:r w:rsidR="00520015" w:rsidRPr="00520015">
          <w:rPr>
            <w:u w:val="single"/>
            <w:vertAlign w:val="superscript"/>
          </w:rPr>
          <w:t>(1)</w:t>
        </w:r>
      </w:hyperlink>
      <w:r w:rsidR="00520015" w:rsidRPr="00520015">
        <w:t xml:space="preserve"> Il </w:t>
      </w:r>
      <w:hyperlink r:id="rId7" w:tooltip="Dizionario Giuridico: Chiamato all'eredità" w:history="1">
        <w:r w:rsidR="00520015" w:rsidRPr="00520015">
          <w:rPr>
            <w:u w:val="single"/>
          </w:rPr>
          <w:t>chiamato all'eredità</w:t>
        </w:r>
      </w:hyperlink>
      <w:r w:rsidR="00520015" w:rsidRPr="00520015">
        <w:t xml:space="preserve">, quando a qualsiasi titolo è nel </w:t>
      </w:r>
      <w:hyperlink r:id="rId8" w:tooltip="Dizionario Giuridico: Possesso" w:history="1">
        <w:r w:rsidR="00520015" w:rsidRPr="00520015">
          <w:rPr>
            <w:u w:val="single"/>
          </w:rPr>
          <w:t>possesso</w:t>
        </w:r>
      </w:hyperlink>
      <w:r w:rsidR="00520015" w:rsidRPr="00520015">
        <w:t xml:space="preserve"> di beni ereditari </w:t>
      </w:r>
      <w:hyperlink r:id="rId9" w:anchor="nota_15983" w:history="1">
        <w:r w:rsidR="00520015" w:rsidRPr="00520015">
          <w:rPr>
            <w:u w:val="single"/>
            <w:vertAlign w:val="superscript"/>
          </w:rPr>
          <w:t>(2)</w:t>
        </w:r>
      </w:hyperlink>
      <w:r w:rsidR="00520015" w:rsidRPr="00520015">
        <w:t>, deve fare l'</w:t>
      </w:r>
      <w:hyperlink r:id="rId10" w:tooltip="Dizionario Giuridico: Inventario" w:history="1">
        <w:r w:rsidR="00520015" w:rsidRPr="00520015">
          <w:rPr>
            <w:u w:val="single"/>
          </w:rPr>
          <w:t>inventario</w:t>
        </w:r>
      </w:hyperlink>
      <w:r w:rsidR="00520015" w:rsidRPr="00520015">
        <w:t xml:space="preserve"> entro tre mesi dal giorno dell'</w:t>
      </w:r>
      <w:hyperlink r:id="rId11" w:tooltip="Dizionario Giuridico: Apertura della successione" w:history="1">
        <w:r w:rsidR="00520015" w:rsidRPr="00520015">
          <w:rPr>
            <w:u w:val="single"/>
          </w:rPr>
          <w:t>apertura della successione</w:t>
        </w:r>
      </w:hyperlink>
      <w:r w:rsidR="00520015" w:rsidRPr="00520015">
        <w:t xml:space="preserve"> [</w:t>
      </w:r>
      <w:hyperlink r:id="rId12" w:tooltip="Indegnità del genitore" w:history="1">
        <w:r>
          <w:rPr>
            <w:u w:val="single"/>
          </w:rPr>
          <w:t>4</w:t>
        </w:r>
        <w:r w:rsidR="00520015" w:rsidRPr="00520015">
          <w:rPr>
            <w:u w:val="single"/>
          </w:rPr>
          <w:t>5</w:t>
        </w:r>
      </w:hyperlink>
      <w:r>
        <w:rPr>
          <w:u w:val="single"/>
        </w:rPr>
        <w:t>6</w:t>
      </w:r>
      <w:bookmarkStart w:id="0" w:name="_GoBack"/>
      <w:bookmarkEnd w:id="0"/>
      <w:r w:rsidR="00520015" w:rsidRPr="00520015">
        <w:t xml:space="preserve"> c.c.] o della notizia della devoluta eredità. Se entro questo termine lo ha cominciato ma non è stato in grado di completarlo, può ottenere dal tribunale del luogo in cui si è aperta la successione una proroga che, salvo gravi circostanze, non deve eccedere i tre mesi [</w:t>
      </w:r>
      <w:hyperlink r:id="rId13" w:tooltip="Chiamato all'eredità che non è nel possesso di beni" w:history="1">
        <w:r w:rsidR="00520015" w:rsidRPr="00520015">
          <w:rPr>
            <w:u w:val="single"/>
          </w:rPr>
          <w:t>487</w:t>
        </w:r>
      </w:hyperlink>
      <w:r w:rsidR="00520015" w:rsidRPr="00520015">
        <w:t xml:space="preserve"> c.c.; </w:t>
      </w:r>
      <w:hyperlink r:id="rId14" w:tooltip="Procedimento per la fissazione dei termini" w:history="1">
        <w:r w:rsidR="00520015" w:rsidRPr="00520015">
          <w:rPr>
            <w:u w:val="single"/>
          </w:rPr>
          <w:t>749</w:t>
        </w:r>
      </w:hyperlink>
      <w:r w:rsidR="00520015" w:rsidRPr="00520015">
        <w:t xml:space="preserve">, </w:t>
      </w:r>
      <w:hyperlink r:id="rId15" w:tooltip="Rinvio delle operazioni" w:history="1">
        <w:r w:rsidR="00520015" w:rsidRPr="00520015">
          <w:rPr>
            <w:u w:val="single"/>
          </w:rPr>
          <w:t>774</w:t>
        </w:r>
      </w:hyperlink>
      <w:r w:rsidR="00520015" w:rsidRPr="00520015">
        <w:t xml:space="preserve"> ss. c.p.c.] </w:t>
      </w:r>
      <w:hyperlink r:id="rId16" w:anchor="nota_1584" w:history="1">
        <w:r w:rsidR="00520015" w:rsidRPr="00520015">
          <w:rPr>
            <w:u w:val="single"/>
            <w:vertAlign w:val="superscript"/>
          </w:rPr>
          <w:t>(3)</w:t>
        </w:r>
      </w:hyperlink>
      <w:r w:rsidR="00520015" w:rsidRPr="00520015">
        <w:t>.</w:t>
      </w:r>
      <w:r w:rsidR="00520015" w:rsidRPr="00520015">
        <w:br/>
        <w:t>Trascorso tale termine senza che l'inventario sia stato compiuto, il chiamato all'eredità è considerato erede puro e semplice [</w:t>
      </w:r>
      <w:hyperlink r:id="rId17" w:tooltip="Accettazione tacita" w:history="1">
        <w:r w:rsidR="00520015" w:rsidRPr="00520015">
          <w:rPr>
            <w:u w:val="single"/>
          </w:rPr>
          <w:t>476</w:t>
        </w:r>
      </w:hyperlink>
      <w:r w:rsidR="00520015" w:rsidRPr="00520015">
        <w:t xml:space="preserve"> c.c.] </w:t>
      </w:r>
      <w:hyperlink r:id="rId18" w:anchor="nota_1585" w:history="1">
        <w:r w:rsidR="00520015" w:rsidRPr="00520015">
          <w:rPr>
            <w:u w:val="single"/>
            <w:vertAlign w:val="superscript"/>
          </w:rPr>
          <w:t>(4)</w:t>
        </w:r>
      </w:hyperlink>
      <w:r w:rsidR="00520015" w:rsidRPr="00520015">
        <w:t xml:space="preserve">. Compiuto l'inventario, il chiamato che non abbia ancora fatto la dichiarazione a norma dell'articolo </w:t>
      </w:r>
      <w:hyperlink r:id="rId19" w:tooltip="Accettazione col beneficio d'inventario" w:history="1">
        <w:r w:rsidR="00520015" w:rsidRPr="00520015">
          <w:rPr>
            <w:u w:val="single"/>
          </w:rPr>
          <w:t>484</w:t>
        </w:r>
      </w:hyperlink>
      <w:r w:rsidR="00520015" w:rsidRPr="00520015">
        <w:t xml:space="preserve"> ha un termine di quaranta giorni da quello del compimento dell'inventario medesimo, per deliberare se accetta [</w:t>
      </w:r>
      <w:hyperlink r:id="rId20" w:tooltip="Accettazione pura e semplice e accettazione col beneficio d'inventario" w:history="1">
        <w:r w:rsidR="00520015" w:rsidRPr="00520015">
          <w:rPr>
            <w:u w:val="single"/>
          </w:rPr>
          <w:t>470</w:t>
        </w:r>
      </w:hyperlink>
      <w:r w:rsidR="00520015" w:rsidRPr="00520015">
        <w:t xml:space="preserve"> ss. c.c.] o rinunzia [</w:t>
      </w:r>
      <w:hyperlink r:id="rId21" w:tooltip="Dichiarazione di rinunzia" w:history="1">
        <w:r w:rsidR="00520015" w:rsidRPr="00520015">
          <w:rPr>
            <w:u w:val="single"/>
          </w:rPr>
          <w:t>519</w:t>
        </w:r>
      </w:hyperlink>
      <w:r w:rsidR="00520015" w:rsidRPr="00520015">
        <w:t xml:space="preserve"> ss. c.c.] all'eredità. Trascorso questo termine senza che abbia deliberato, è considerato erede puro e semplice [</w:t>
      </w:r>
      <w:hyperlink r:id="rId22" w:tooltip="Accettazione tacita" w:history="1">
        <w:r w:rsidR="00520015" w:rsidRPr="00520015">
          <w:rPr>
            <w:u w:val="single"/>
          </w:rPr>
          <w:t>476</w:t>
        </w:r>
      </w:hyperlink>
      <w:r w:rsidR="00520015" w:rsidRPr="00520015">
        <w:t xml:space="preserve">, </w:t>
      </w:r>
      <w:hyperlink r:id="rId23" w:tooltip="Dichiarazione in caso di termine fissato dall'autorità giudiziaria" w:history="1">
        <w:r w:rsidR="00520015" w:rsidRPr="00520015">
          <w:rPr>
            <w:u w:val="single"/>
          </w:rPr>
          <w:t>488</w:t>
        </w:r>
      </w:hyperlink>
      <w:r w:rsidR="00520015" w:rsidRPr="00520015">
        <w:t xml:space="preserve"> c.c.] </w:t>
      </w:r>
      <w:hyperlink r:id="rId24" w:anchor="nota_1586" w:history="1">
        <w:r w:rsidR="00520015" w:rsidRPr="00520015">
          <w:rPr>
            <w:u w:val="single"/>
            <w:vertAlign w:val="superscript"/>
          </w:rPr>
          <w:t>(5)</w:t>
        </w:r>
      </w:hyperlink>
      <w:r w:rsidR="00520015" w:rsidRPr="00520015">
        <w:t>.</w:t>
      </w:r>
    </w:p>
    <w:p w:rsidR="00520015" w:rsidRPr="00520015" w:rsidRDefault="00520015" w:rsidP="00520015">
      <w:pPr>
        <w:spacing w:before="100" w:beforeAutospacing="1" w:after="100" w:afterAutospacing="1"/>
        <w:outlineLvl w:val="2"/>
        <w:rPr>
          <w:b/>
          <w:bCs/>
          <w:sz w:val="27"/>
          <w:szCs w:val="27"/>
        </w:rPr>
      </w:pPr>
      <w:r w:rsidRPr="00520015">
        <w:rPr>
          <w:b/>
          <w:bCs/>
          <w:sz w:val="27"/>
          <w:szCs w:val="27"/>
        </w:rPr>
        <w:t>Note</w:t>
      </w:r>
    </w:p>
    <w:p w:rsidR="00520015" w:rsidRPr="00520015" w:rsidRDefault="00520015" w:rsidP="00520015">
      <w:bookmarkStart w:id="1" w:name="nota_15984"/>
      <w:r w:rsidRPr="00520015">
        <w:t xml:space="preserve">(1) </w:t>
      </w:r>
      <w:bookmarkEnd w:id="1"/>
      <w:r w:rsidRPr="00520015">
        <w:t xml:space="preserve">Tale previsione non si applica ai minori e agli incapaci, i quali possono accettare l'eredità solo con il beneficio di inventario (v. artt. </w:t>
      </w:r>
      <w:hyperlink r:id="rId25" w:tooltip="Eredità devolute a minori o interdetti" w:history="1">
        <w:r w:rsidRPr="00520015">
          <w:rPr>
            <w:u w:val="single"/>
          </w:rPr>
          <w:t>471</w:t>
        </w:r>
      </w:hyperlink>
      <w:r w:rsidRPr="00520015">
        <w:t xml:space="preserve">, </w:t>
      </w:r>
      <w:hyperlink r:id="rId26" w:tooltip="Eredità devolute a minori emancipati o a inabilitati" w:history="1">
        <w:r w:rsidRPr="00520015">
          <w:rPr>
            <w:u w:val="single"/>
          </w:rPr>
          <w:t>472</w:t>
        </w:r>
      </w:hyperlink>
      <w:r w:rsidRPr="00520015">
        <w:t xml:space="preserve"> del c.c.). Tali soggetti decadono dal diritto di accettare con beneficio di inventario, ove non vengano rispettati i termini di cui all'art. </w:t>
      </w:r>
      <w:hyperlink r:id="rId27" w:tooltip="Chiamato all'eredità che è nel possesso di beni" w:history="1">
        <w:r w:rsidRPr="00520015">
          <w:rPr>
            <w:u w:val="single"/>
          </w:rPr>
          <w:t>485</w:t>
        </w:r>
      </w:hyperlink>
      <w:r w:rsidRPr="00520015">
        <w:t xml:space="preserve"> del c.c., solo dopo un anno dal compimento della maggior età o dalla cessazione dello stato di incapacità (v. art. </w:t>
      </w:r>
      <w:hyperlink r:id="rId28" w:tooltip="Incapaci" w:history="1">
        <w:r w:rsidRPr="00520015">
          <w:rPr>
            <w:u w:val="single"/>
          </w:rPr>
          <w:t>489</w:t>
        </w:r>
      </w:hyperlink>
      <w:r w:rsidRPr="00520015">
        <w:t xml:space="preserve"> del c.c.). </w:t>
      </w:r>
    </w:p>
    <w:p w:rsidR="00520015" w:rsidRPr="00520015" w:rsidRDefault="00520015" w:rsidP="00520015">
      <w:bookmarkStart w:id="2" w:name="nota_15983"/>
      <w:r w:rsidRPr="00520015">
        <w:t xml:space="preserve">(2) </w:t>
      </w:r>
      <w:bookmarkEnd w:id="2"/>
      <w:r w:rsidRPr="00520015">
        <w:t>E' sufficiente il possesso anche di un solo bene ereditario. Il chiamato all'eredità deve essere, però, a conoscenza dell'appartenenza del bene all'eredità e della devoluzione ereditaria in suo favore.</w:t>
      </w:r>
      <w:r w:rsidRPr="00520015">
        <w:br/>
        <w:t xml:space="preserve">Al contrario l'erede che non sia nel possesso dei beni ereditari, può fare la dichiarazione di cui all'art. </w:t>
      </w:r>
      <w:hyperlink r:id="rId29" w:tooltip="Accettazione col beneficio d'inventario" w:history="1">
        <w:r w:rsidRPr="00520015">
          <w:rPr>
            <w:u w:val="single"/>
          </w:rPr>
          <w:t>484</w:t>
        </w:r>
      </w:hyperlink>
      <w:r w:rsidRPr="00520015">
        <w:t xml:space="preserve"> del c.c. fino a che non si è prescritto il suo diritto di accettare (v. artt. </w:t>
      </w:r>
      <w:hyperlink r:id="rId30" w:tooltip="Prescrizione" w:history="1">
        <w:r w:rsidRPr="00520015">
          <w:rPr>
            <w:u w:val="single"/>
          </w:rPr>
          <w:t>480</w:t>
        </w:r>
      </w:hyperlink>
      <w:r w:rsidRPr="00520015">
        <w:t xml:space="preserve"> e </w:t>
      </w:r>
      <w:hyperlink r:id="rId31" w:tooltip="Chiamato all'eredità che non è nel possesso di beni" w:history="1">
        <w:r w:rsidRPr="00520015">
          <w:rPr>
            <w:u w:val="single"/>
          </w:rPr>
          <w:t>487</w:t>
        </w:r>
      </w:hyperlink>
      <w:r w:rsidRPr="00520015">
        <w:t xml:space="preserve"> del c.c.). </w:t>
      </w:r>
    </w:p>
    <w:p w:rsidR="00520015" w:rsidRPr="00520015" w:rsidRDefault="00520015" w:rsidP="00520015">
      <w:bookmarkStart w:id="3" w:name="nota_1584"/>
      <w:r w:rsidRPr="00520015">
        <w:t xml:space="preserve">(3) </w:t>
      </w:r>
      <w:bookmarkEnd w:id="3"/>
      <w:r w:rsidRPr="00520015">
        <w:t>Il comma è stato così modificato dal D. Lgs. 19 febbraio 1998, n. 51 (</w:t>
      </w:r>
      <w:r w:rsidRPr="00520015">
        <w:rPr>
          <w:i/>
          <w:iCs/>
        </w:rPr>
        <w:t>Norme in materia di istituzione del giudice unico di primo grado</w:t>
      </w:r>
      <w:r w:rsidRPr="00520015">
        <w:t xml:space="preserve">). </w:t>
      </w:r>
    </w:p>
    <w:p w:rsidR="00520015" w:rsidRPr="00520015" w:rsidRDefault="00520015" w:rsidP="00520015">
      <w:bookmarkStart w:id="4" w:name="nota_1585"/>
      <w:r w:rsidRPr="00520015">
        <w:t xml:space="preserve">(4) </w:t>
      </w:r>
      <w:bookmarkEnd w:id="4"/>
      <w:r w:rsidRPr="00520015">
        <w:t>Il chiamato che sia nel possesso dei beni ereditari e che non abbia compiuto l'inventario nel termine di tre mesi dall'apertura della successione, diviene erede puro e semplice. Si acquista l'eredità senza che vi sia stata accettazione, espressa o tacita.</w:t>
      </w:r>
    </w:p>
    <w:p w:rsidR="00520015" w:rsidRPr="00520015" w:rsidRDefault="00520015" w:rsidP="00520015">
      <w:bookmarkStart w:id="5" w:name="nota_1586"/>
      <w:r w:rsidRPr="00520015">
        <w:t xml:space="preserve">(5) </w:t>
      </w:r>
      <w:bookmarkEnd w:id="5"/>
      <w:r w:rsidRPr="00520015">
        <w:t xml:space="preserve">Il chiamato che sia nel possesso dei beni ereditari e che abbia compiuto l'inventario nel termine di tre mesi dall'apertura della successione, deve dichiarare, entro quaranta giorni dal compimento dell'inventario, se intende accettare l'eredità con il beneficio di inventario ai sensi dell'art. </w:t>
      </w:r>
      <w:hyperlink r:id="rId32" w:tooltip="Accettazione col beneficio d'inventario" w:history="1">
        <w:r w:rsidRPr="00520015">
          <w:rPr>
            <w:u w:val="single"/>
          </w:rPr>
          <w:t>484</w:t>
        </w:r>
      </w:hyperlink>
      <w:r w:rsidRPr="00520015">
        <w:t xml:space="preserve"> del c.c.. Ove tale termine non venga rispettato, il chiamato è da considerarsi erede puro e semplice. Anche in questo caso, come già osservato per il comma precedente, si acquista l'eredità senza che vi sia stata accettazione, espressa o tacita.</w:t>
      </w:r>
    </w:p>
    <w:p w:rsidR="00520015" w:rsidRDefault="00520015" w:rsidP="00520015">
      <w:pPr>
        <w:spacing w:line="360" w:lineRule="auto"/>
        <w:outlineLvl w:val="2"/>
        <w:rPr>
          <w:b/>
          <w:bCs/>
        </w:rPr>
      </w:pPr>
    </w:p>
    <w:p w:rsidR="00520015" w:rsidRPr="00520015" w:rsidRDefault="00520015" w:rsidP="00520015">
      <w:pPr>
        <w:spacing w:line="360" w:lineRule="auto"/>
        <w:outlineLvl w:val="2"/>
        <w:rPr>
          <w:b/>
          <w:bCs/>
        </w:rPr>
      </w:pPr>
    </w:p>
    <w:p w:rsidR="00520015" w:rsidRDefault="00520015" w:rsidP="00520015">
      <w:pPr>
        <w:spacing w:line="360" w:lineRule="auto"/>
      </w:pPr>
    </w:p>
    <w:sectPr w:rsidR="005200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English157 BT">
    <w:altName w:val="Times New Roman"/>
    <w:charset w:val="00"/>
    <w:family w:val="auto"/>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15"/>
    <w:rsid w:val="00520015"/>
    <w:rsid w:val="0075104A"/>
    <w:rsid w:val="00961156"/>
    <w:rsid w:val="00D56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00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520015"/>
    <w:pPr>
      <w:jc w:val="center"/>
    </w:pPr>
    <w:rPr>
      <w:rFonts w:ascii="English157 BT" w:hAnsi="English157 BT"/>
      <w:sz w:val="72"/>
      <w:szCs w:val="20"/>
    </w:rPr>
  </w:style>
  <w:style w:type="paragraph" w:styleId="Testofumetto">
    <w:name w:val="Balloon Text"/>
    <w:basedOn w:val="Normale"/>
    <w:link w:val="TestofumettoCarattere"/>
    <w:uiPriority w:val="99"/>
    <w:semiHidden/>
    <w:unhideWhenUsed/>
    <w:rsid w:val="005200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015"/>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00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520015"/>
    <w:pPr>
      <w:jc w:val="center"/>
    </w:pPr>
    <w:rPr>
      <w:rFonts w:ascii="English157 BT" w:hAnsi="English157 BT"/>
      <w:sz w:val="72"/>
      <w:szCs w:val="20"/>
    </w:rPr>
  </w:style>
  <w:style w:type="paragraph" w:styleId="Testofumetto">
    <w:name w:val="Balloon Text"/>
    <w:basedOn w:val="Normale"/>
    <w:link w:val="TestofumettoCarattere"/>
    <w:uiPriority w:val="99"/>
    <w:semiHidden/>
    <w:unhideWhenUsed/>
    <w:rsid w:val="005200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015"/>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15845">
      <w:bodyDiv w:val="1"/>
      <w:marLeft w:val="0"/>
      <w:marRight w:val="0"/>
      <w:marTop w:val="0"/>
      <w:marBottom w:val="0"/>
      <w:divBdr>
        <w:top w:val="none" w:sz="0" w:space="0" w:color="auto"/>
        <w:left w:val="none" w:sz="0" w:space="0" w:color="auto"/>
        <w:bottom w:val="none" w:sz="0" w:space="0" w:color="auto"/>
        <w:right w:val="none" w:sz="0" w:space="0" w:color="auto"/>
      </w:divBdr>
      <w:divsChild>
        <w:div w:id="29767303">
          <w:marLeft w:val="0"/>
          <w:marRight w:val="0"/>
          <w:marTop w:val="0"/>
          <w:marBottom w:val="0"/>
          <w:divBdr>
            <w:top w:val="none" w:sz="0" w:space="0" w:color="auto"/>
            <w:left w:val="none" w:sz="0" w:space="0" w:color="auto"/>
            <w:bottom w:val="none" w:sz="0" w:space="0" w:color="auto"/>
            <w:right w:val="none" w:sz="0" w:space="0" w:color="auto"/>
          </w:divBdr>
        </w:div>
        <w:div w:id="1642535093">
          <w:marLeft w:val="0"/>
          <w:marRight w:val="0"/>
          <w:marTop w:val="0"/>
          <w:marBottom w:val="0"/>
          <w:divBdr>
            <w:top w:val="none" w:sz="0" w:space="0" w:color="auto"/>
            <w:left w:val="none" w:sz="0" w:space="0" w:color="auto"/>
            <w:bottom w:val="none" w:sz="0" w:space="0" w:color="auto"/>
            <w:right w:val="none" w:sz="0" w:space="0" w:color="auto"/>
          </w:divBdr>
        </w:div>
        <w:div w:id="1427312736">
          <w:marLeft w:val="0"/>
          <w:marRight w:val="0"/>
          <w:marTop w:val="0"/>
          <w:marBottom w:val="0"/>
          <w:divBdr>
            <w:top w:val="none" w:sz="0" w:space="0" w:color="auto"/>
            <w:left w:val="none" w:sz="0" w:space="0" w:color="auto"/>
            <w:bottom w:val="none" w:sz="0" w:space="0" w:color="auto"/>
            <w:right w:val="none" w:sz="0" w:space="0" w:color="auto"/>
          </w:divBdr>
        </w:div>
        <w:div w:id="979000002">
          <w:marLeft w:val="0"/>
          <w:marRight w:val="0"/>
          <w:marTop w:val="0"/>
          <w:marBottom w:val="0"/>
          <w:divBdr>
            <w:top w:val="none" w:sz="0" w:space="0" w:color="auto"/>
            <w:left w:val="none" w:sz="0" w:space="0" w:color="auto"/>
            <w:bottom w:val="none" w:sz="0" w:space="0" w:color="auto"/>
            <w:right w:val="none" w:sz="0" w:space="0" w:color="auto"/>
          </w:divBdr>
        </w:div>
        <w:div w:id="1680043938">
          <w:marLeft w:val="0"/>
          <w:marRight w:val="0"/>
          <w:marTop w:val="0"/>
          <w:marBottom w:val="0"/>
          <w:divBdr>
            <w:top w:val="none" w:sz="0" w:space="0" w:color="auto"/>
            <w:left w:val="none" w:sz="0" w:space="0" w:color="auto"/>
            <w:bottom w:val="none" w:sz="0" w:space="0" w:color="auto"/>
            <w:right w:val="none" w:sz="0" w:space="0" w:color="auto"/>
          </w:divBdr>
        </w:div>
        <w:div w:id="1193153131">
          <w:marLeft w:val="0"/>
          <w:marRight w:val="0"/>
          <w:marTop w:val="0"/>
          <w:marBottom w:val="0"/>
          <w:divBdr>
            <w:top w:val="none" w:sz="0" w:space="0" w:color="auto"/>
            <w:left w:val="none" w:sz="0" w:space="0" w:color="auto"/>
            <w:bottom w:val="none" w:sz="0" w:space="0" w:color="auto"/>
            <w:right w:val="none" w:sz="0" w:space="0" w:color="auto"/>
          </w:divBdr>
        </w:div>
      </w:divsChild>
    </w:div>
    <w:div w:id="579755150">
      <w:bodyDiv w:val="1"/>
      <w:marLeft w:val="0"/>
      <w:marRight w:val="0"/>
      <w:marTop w:val="0"/>
      <w:marBottom w:val="0"/>
      <w:divBdr>
        <w:top w:val="none" w:sz="0" w:space="0" w:color="auto"/>
        <w:left w:val="none" w:sz="0" w:space="0" w:color="auto"/>
        <w:bottom w:val="none" w:sz="0" w:space="0" w:color="auto"/>
        <w:right w:val="none" w:sz="0" w:space="0" w:color="auto"/>
      </w:divBdr>
      <w:divsChild>
        <w:div w:id="550653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ardi.it/dizionario/1473.html" TargetMode="External"/><Relationship Id="rId13" Type="http://schemas.openxmlformats.org/officeDocument/2006/relationships/hyperlink" Target="http://www.brocardi.it/codice-civile/libro-secondo/titolo-i/capo-v/sezione-ii/art487.html" TargetMode="External"/><Relationship Id="rId18" Type="http://schemas.openxmlformats.org/officeDocument/2006/relationships/hyperlink" Target="http://www.brocardi.it/codice-civile/libro-secondo/titolo-i/capo-v/sezione-ii/art485.html" TargetMode="External"/><Relationship Id="rId26" Type="http://schemas.openxmlformats.org/officeDocument/2006/relationships/hyperlink" Target="http://www.brocardi.it/codice-civile/libro-secondo/titolo-i/capo-v/sezione-i/art472.html" TargetMode="External"/><Relationship Id="rId3" Type="http://schemas.openxmlformats.org/officeDocument/2006/relationships/settings" Target="settings.xml"/><Relationship Id="rId21" Type="http://schemas.openxmlformats.org/officeDocument/2006/relationships/hyperlink" Target="http://www.brocardi.it/codice-civile/libro-secondo/titolo-i/capo-vii/art519.html" TargetMode="External"/><Relationship Id="rId34" Type="http://schemas.openxmlformats.org/officeDocument/2006/relationships/theme" Target="theme/theme1.xml"/><Relationship Id="rId7" Type="http://schemas.openxmlformats.org/officeDocument/2006/relationships/hyperlink" Target="http://www.brocardi.it/dizionario/842.html" TargetMode="External"/><Relationship Id="rId12" Type="http://schemas.openxmlformats.org/officeDocument/2006/relationships/hyperlink" Target="http://www.brocardi.it/codice-civile/libro-secondo/titolo-i/capo-iii/art465.html" TargetMode="External"/><Relationship Id="rId17" Type="http://schemas.openxmlformats.org/officeDocument/2006/relationships/hyperlink" Target="http://www.brocardi.it/codice-civile/libro-secondo/titolo-i/capo-v/sezione-i/art476.html" TargetMode="External"/><Relationship Id="rId25" Type="http://schemas.openxmlformats.org/officeDocument/2006/relationships/hyperlink" Target="http://www.brocardi.it/codice-civile/libro-secondo/titolo-i/capo-v/sezione-i/art471.htm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brocardi.it/codice-civile/libro-secondo/titolo-i/capo-v/sezione-ii/art485.html" TargetMode="External"/><Relationship Id="rId20" Type="http://schemas.openxmlformats.org/officeDocument/2006/relationships/hyperlink" Target="http://www.brocardi.it/codice-civile/libro-secondo/titolo-i/capo-v/sezione-i/art470.html" TargetMode="External"/><Relationship Id="rId29" Type="http://schemas.openxmlformats.org/officeDocument/2006/relationships/hyperlink" Target="http://www.brocardi.it/codice-civile/libro-secondo/titolo-i/capo-v/sezione-ii/art484.html" TargetMode="External"/><Relationship Id="rId1" Type="http://schemas.openxmlformats.org/officeDocument/2006/relationships/styles" Target="styles.xml"/><Relationship Id="rId6" Type="http://schemas.openxmlformats.org/officeDocument/2006/relationships/hyperlink" Target="http://www.brocardi.it/codice-civile/libro-secondo/titolo-i/capo-v/sezione-ii/art485.html" TargetMode="External"/><Relationship Id="rId11" Type="http://schemas.openxmlformats.org/officeDocument/2006/relationships/hyperlink" Target="http://www.brocardi.it/dizionario/4173.html" TargetMode="External"/><Relationship Id="rId24" Type="http://schemas.openxmlformats.org/officeDocument/2006/relationships/hyperlink" Target="http://www.brocardi.it/codice-civile/libro-secondo/titolo-i/capo-v/sezione-ii/art485.html" TargetMode="External"/><Relationship Id="rId32" Type="http://schemas.openxmlformats.org/officeDocument/2006/relationships/hyperlink" Target="http://www.brocardi.it/codice-civile/libro-secondo/titolo-i/capo-v/sezione-ii/art484.html" TargetMode="External"/><Relationship Id="rId5" Type="http://schemas.openxmlformats.org/officeDocument/2006/relationships/image" Target="media/image1.png"/><Relationship Id="rId15" Type="http://schemas.openxmlformats.org/officeDocument/2006/relationships/hyperlink" Target="http://www.brocardi.it/codice-di-procedura-civile/libro-quarto/titolo-iv/capo-iii/art774.html" TargetMode="External"/><Relationship Id="rId23" Type="http://schemas.openxmlformats.org/officeDocument/2006/relationships/hyperlink" Target="http://www.brocardi.it/codice-civile/libro-secondo/titolo-i/capo-v/sezione-ii/art488.html" TargetMode="External"/><Relationship Id="rId28" Type="http://schemas.openxmlformats.org/officeDocument/2006/relationships/hyperlink" Target="http://www.brocardi.it/codice-civile/libro-secondo/titolo-i/capo-v/sezione-ii/art489.html" TargetMode="External"/><Relationship Id="rId10" Type="http://schemas.openxmlformats.org/officeDocument/2006/relationships/hyperlink" Target="http://www.brocardi.it/dizionario/4186.html" TargetMode="External"/><Relationship Id="rId19" Type="http://schemas.openxmlformats.org/officeDocument/2006/relationships/hyperlink" Target="http://www.brocardi.it/codice-civile/libro-secondo/titolo-i/capo-v/sezione-ii/art484.html" TargetMode="External"/><Relationship Id="rId31" Type="http://schemas.openxmlformats.org/officeDocument/2006/relationships/hyperlink" Target="http://www.brocardi.it/codice-civile/libro-secondo/titolo-i/capo-v/sezione-ii/art487.html" TargetMode="External"/><Relationship Id="rId4" Type="http://schemas.openxmlformats.org/officeDocument/2006/relationships/webSettings" Target="webSettings.xml"/><Relationship Id="rId9" Type="http://schemas.openxmlformats.org/officeDocument/2006/relationships/hyperlink" Target="http://www.brocardi.it/codice-civile/libro-secondo/titolo-i/capo-v/sezione-ii/art485.html" TargetMode="External"/><Relationship Id="rId14" Type="http://schemas.openxmlformats.org/officeDocument/2006/relationships/hyperlink" Target="http://www.brocardi.it/codice-di-procedura-civile/libro-quarto/titolo-iv/capo-i/art749.html" TargetMode="External"/><Relationship Id="rId22" Type="http://schemas.openxmlformats.org/officeDocument/2006/relationships/hyperlink" Target="http://www.brocardi.it/codice-civile/libro-secondo/titolo-i/capo-v/sezione-i/art476.html" TargetMode="External"/><Relationship Id="rId27" Type="http://schemas.openxmlformats.org/officeDocument/2006/relationships/hyperlink" Target="http://www.brocardi.it/codice-civile/libro-secondo/titolo-i/capo-v/sezione-ii/art485.html" TargetMode="External"/><Relationship Id="rId30" Type="http://schemas.openxmlformats.org/officeDocument/2006/relationships/hyperlink" Target="http://www.brocardi.it/codice-civile/libro-secondo/titolo-i/capo-v/sezione-i/art480.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985</Words>
  <Characters>5619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Napolitano</dc:creator>
  <cp:lastModifiedBy>Valentina Napolitano</cp:lastModifiedBy>
  <cp:revision>2</cp:revision>
  <dcterms:created xsi:type="dcterms:W3CDTF">2017-06-06T08:33:00Z</dcterms:created>
  <dcterms:modified xsi:type="dcterms:W3CDTF">2018-06-14T06:47:00Z</dcterms:modified>
</cp:coreProperties>
</file>