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AD" w:rsidRPr="006E1449" w:rsidRDefault="009249AD" w:rsidP="00A83E3B">
      <w:pPr>
        <w:jc w:val="center"/>
        <w:rPr>
          <w:sz w:val="96"/>
          <w:szCs w:val="96"/>
        </w:rPr>
      </w:pPr>
      <w:r w:rsidRPr="006E1449">
        <w:rPr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fillcolor="window">
            <v:imagedata r:id="rId4" o:title=""/>
          </v:shape>
        </w:pict>
      </w:r>
    </w:p>
    <w:p w:rsidR="009249AD" w:rsidRPr="00E367AF" w:rsidRDefault="009249AD" w:rsidP="00A83E3B">
      <w:pPr>
        <w:pStyle w:val="Caption"/>
        <w:rPr>
          <w:b/>
          <w:sz w:val="36"/>
          <w:szCs w:val="36"/>
        </w:rPr>
      </w:pPr>
      <w:r w:rsidRPr="00E367AF">
        <w:rPr>
          <w:b/>
          <w:sz w:val="36"/>
          <w:szCs w:val="36"/>
        </w:rPr>
        <w:t>Tribunale Ordinario di Torino</w:t>
      </w:r>
    </w:p>
    <w:p w:rsidR="009249AD" w:rsidRDefault="009249AD" w:rsidP="00E51D7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9249AD" w:rsidRPr="00292F31" w:rsidRDefault="009249AD" w:rsidP="00E51D7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  <w:r w:rsidRPr="00E51D7F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 xml:space="preserve">MINISTERO DELLA GIUSTIZIA - </w:t>
      </w:r>
      <w:r w:rsidRPr="00292F31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>DECRETO 8 giugno 2015, n. 88</w:t>
      </w:r>
    </w:p>
    <w:p w:rsidR="009249AD" w:rsidRPr="00292F31" w:rsidRDefault="009249AD" w:rsidP="00E51D7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292F31">
        <w:rPr>
          <w:rFonts w:ascii="Times New Roman" w:hAnsi="Times New Roman"/>
          <w:color w:val="000000"/>
          <w:sz w:val="28"/>
          <w:szCs w:val="28"/>
          <w:shd w:val="clear" w:color="auto" w:fill="F9F8F4"/>
          <w:lang w:eastAsia="it-IT"/>
        </w:rPr>
        <w:t>Regolamento recante disciplina delle convenzioni in materia di pubblica utilit</w:t>
      </w:r>
      <w:r>
        <w:rPr>
          <w:rFonts w:ascii="Times New Roman" w:hAnsi="Times New Roman"/>
          <w:color w:val="000000"/>
          <w:sz w:val="28"/>
          <w:szCs w:val="28"/>
          <w:shd w:val="clear" w:color="auto" w:fill="F9F8F4"/>
          <w:lang w:eastAsia="it-IT"/>
        </w:rPr>
        <w:t>à</w:t>
      </w:r>
      <w:r w:rsidRPr="00292F31">
        <w:rPr>
          <w:rFonts w:ascii="Times New Roman" w:hAnsi="Times New Roman"/>
          <w:color w:val="000000"/>
          <w:sz w:val="28"/>
          <w:szCs w:val="28"/>
          <w:shd w:val="clear" w:color="auto" w:fill="F9F8F4"/>
          <w:lang w:eastAsia="it-IT"/>
        </w:rPr>
        <w:t xml:space="preserve"> ai fini della messa alla prova dell'imputato, ai sensi dell'articolo 8 della legge 28 aprile 2014, n. 67. </w:t>
      </w:r>
      <w:r w:rsidRPr="00E51D7F">
        <w:rPr>
          <w:rFonts w:ascii="Times New Roman" w:hAnsi="Times New Roman"/>
          <w:i/>
          <w:iCs/>
          <w:color w:val="000000"/>
          <w:sz w:val="28"/>
          <w:szCs w:val="28"/>
          <w:lang w:eastAsia="it-IT"/>
        </w:rPr>
        <w:t>(GU n.151 del 2-7-2015 )</w:t>
      </w:r>
    </w:p>
    <w:p w:rsidR="009249AD" w:rsidRPr="00292F31" w:rsidRDefault="009249AD" w:rsidP="00E51D7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&lt;in vigore dal </w:t>
      </w:r>
      <w:r w:rsidRPr="00E51D7F">
        <w:rPr>
          <w:rFonts w:ascii="Times New Roman" w:hAnsi="Times New Roman"/>
          <w:color w:val="000000"/>
          <w:sz w:val="28"/>
          <w:szCs w:val="28"/>
          <w:lang w:eastAsia="it-IT"/>
        </w:rPr>
        <w:t>03/07/2015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&gt;</w:t>
      </w:r>
    </w:p>
    <w:p w:rsidR="009249AD" w:rsidRPr="00E51D7F" w:rsidRDefault="009249AD" w:rsidP="00E51D7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9AD" w:rsidRPr="00292F31" w:rsidRDefault="009249AD" w:rsidP="00E51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color w:val="000000"/>
          <w:sz w:val="28"/>
          <w:szCs w:val="28"/>
          <w:lang w:eastAsia="it-IT"/>
        </w:rPr>
        <w:tab/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Art. 1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.-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Lavoro di pubblica utilit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à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</w:p>
    <w:p w:rsidR="009249AD" w:rsidRPr="00292F31" w:rsidRDefault="009249AD" w:rsidP="00E51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1. Il lavoro di pubblica utilit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à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da prevedere per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la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messa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alla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prova degli imputati maggiori di et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à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, ai sensi dell'articolo 168-bis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c.p., consiste in una prestazione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non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retribuita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in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favore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della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collettivit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à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di durata non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inferiore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dieci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giorni,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anche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non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continuativi,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affidata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tenendo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conto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anche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delle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specifiche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professionalit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à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ed attitudini lavorative dell'imputato, da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svolgere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presso lo Stato, le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regioni,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le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province,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comuni,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le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aziende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sanitarie o presso enti o organizzazioni, anche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internazionali,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che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operano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in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Italia,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di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assistenza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sociale,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sanitaria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di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volontariato. </w:t>
      </w:r>
    </w:p>
    <w:p w:rsidR="009249AD" w:rsidRPr="00292F31" w:rsidRDefault="009249AD" w:rsidP="00E51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2. La prestazione 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è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svolta con modalit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à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che non pregiudichino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le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esigenze di lavoro, di studio, di famiglia e di salute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dell'imputato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>e la sua durata giornaliera non pu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>ò</w:t>
      </w:r>
      <w:r w:rsidRPr="00292F3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superare le otto ore. 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Art.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Convenzioni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 L"/>
        </w:smartTagPr>
        <w:r w:rsidRPr="00E51D7F">
          <w:rPr>
            <w:rFonts w:ascii="Times New Roman" w:hAnsi="Times New Roman" w:cs="Times New Roman"/>
            <w:color w:val="000000"/>
            <w:sz w:val="28"/>
            <w:szCs w:val="28"/>
          </w:rPr>
          <w:t>1. L</w:t>
        </w:r>
      </w:smartTag>
      <w:r w:rsidRPr="00E51D7F">
        <w:rPr>
          <w:rFonts w:ascii="Times New Roman" w:hAnsi="Times New Roman" w:cs="Times New Roman"/>
          <w:color w:val="000000"/>
          <w:sz w:val="28"/>
          <w:szCs w:val="28"/>
        </w:rPr>
        <w:t>'attivit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non retribuita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favore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collettivit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è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svolta secondo quanto stabilito nelle convenzioni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stipulate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Ministero della giustizia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delega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quest'ultimo,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presidente del tribunale, nell'ambito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favore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strutture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esistenti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seno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amministrazioni,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agli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enti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organizzazioni indicati nell'articolo 1, comma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Tali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convenzioni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sono sottoscritte anche da amministrazioni,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enti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organizzazioni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che hanno competenza nazionale,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regionale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interprovinciale,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effetto per le rispettive articolazioni periferiche.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2. La prestazione di lavoro 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durante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messa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alla prova pu</w:t>
      </w:r>
      <w:r>
        <w:rPr>
          <w:rFonts w:ascii="Times New Roman" w:hAnsi="Times New Roman" w:cs="Times New Roman"/>
          <w:color w:val="000000"/>
          <w:sz w:val="28"/>
          <w:szCs w:val="28"/>
        </w:rPr>
        <w:t>ò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essere svolta anche presso un ente convenzionato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lo svolgimento del lavoro 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ai sensi dell'articolo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54 del decreto legislativo 28 agosto 2000, n. 274.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3. Al fine di pervenire alla stipula delle convenzioni l'ufficio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esecuzione penale esterna competente per territorio pu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ò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favorire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contatti tra le amministrazioni, gli enti e le organizzazioni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all'articolo 1, comma 1, e i tribunali. 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4. Nelle convenzioni sono specificate le mansioni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soggetti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che prestano lavoro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pubblica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utilit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possono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essere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adibiti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presso gli organismi di cui all'articolo 1, comma </w:t>
      </w:r>
      <w:smartTag w:uri="urn:schemas-microsoft-com:office:smarttags" w:element="metricconverter">
        <w:smartTagPr>
          <w:attr w:name="ProductID" w:val="1, in"/>
        </w:smartTagPr>
        <w:r w:rsidRPr="00E51D7F">
          <w:rPr>
            <w:rFonts w:ascii="Times New Roman" w:hAnsi="Times New Roman" w:cs="Times New Roman"/>
            <w:color w:val="000000"/>
            <w:sz w:val="28"/>
            <w:szCs w:val="28"/>
          </w:rPr>
          <w:t>1, in</w:t>
        </w:r>
      </w:smartTag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relazione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una o pi</w:t>
      </w:r>
      <w:r>
        <w:rPr>
          <w:rFonts w:ascii="Times New Roman" w:hAnsi="Times New Roman" w:cs="Times New Roman"/>
          <w:color w:val="000000"/>
          <w:sz w:val="28"/>
          <w:szCs w:val="28"/>
        </w:rPr>
        <w:t>ù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delle seguenti tipologie di attivit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a. prestazioni di lavoro per finalit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sociali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socio-sanitarie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confronti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persone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alcoldipendenti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tossicodipendenti,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diversamente abili, malati, anziani, minori, stranieri;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b. prestazioni di lavoro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finalit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protezione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civile,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anche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mediante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soccorso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popolazione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caso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calamit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naturali;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c. prestazioni di lavoro 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fruibilit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tutela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patrimonio ambientale, ivi compresa 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collaborazione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opere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prevenzione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incendi,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salvaguardia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patrimonio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boschivo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forestale o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particolari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produzioni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agricole,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recupero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demanio marittimo,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protezione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flora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fauna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particolare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riguardo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aree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protette,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incluse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attivit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connesse al randagismo degli animali;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d. prestazioni di lavoro 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fruibilit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tutela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patrimonio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culturale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archivistico,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inclusa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custodia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biblioteche, musei, gallerie o pinacoteche;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e. prestazioni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lavoro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manutenzione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fruizione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immobili e servizi pubblici, inclusi ospedali e case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cura,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beni del demanio e del patrimonio pubblico, compresi giardini,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ville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 parchi, con esclusione di immobili utilizzati dalle Forze armate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dalle Forze di polizia;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f. prestazioni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lavoro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inerenti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specifiche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competenze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professionalit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del soggetto. 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Art.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Svolgimento delle prestazioni di lavoro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1. Nelle convenzioni di cui all'articolo 2 le amministrazioni,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enti e 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organizzazioni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indicati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nell'articolo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comma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impegnano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mettere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disposizione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soggetto,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durante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svolgimento del lavoro 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, le strutture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necessarie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all'espletamento delle attivit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stabilite e a curare che l'attivit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prestata sia conforme a quanto previsto dallo specifico programma cui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il soggetto </w:t>
      </w:r>
      <w:r>
        <w:rPr>
          <w:rFonts w:ascii="Times New Roman" w:hAnsi="Times New Roman" w:cs="Times New Roman"/>
          <w:color w:val="000000"/>
          <w:sz w:val="28"/>
          <w:szCs w:val="28"/>
        </w:rPr>
        <w:t>è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sottoposto. Tali enti si impegnano ad indicare il nome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 un referente che coordina 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prestazione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lavorativa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ciascun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soggetto impegnato nel lavoro 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impartisce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istruzioni in ordine alle modalit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di esecuzione dei lavori.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2. Gli enti garantiscono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conformit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sedi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soggetto opera alle previsioni in materia di sicurezza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igiene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degli ambienti di lavoro; assicurano,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altres</w:t>
      </w:r>
      <w:r>
        <w:rPr>
          <w:rFonts w:ascii="Times New Roman" w:hAnsi="Times New Roman" w:cs="Times New Roman"/>
          <w:color w:val="000000"/>
          <w:sz w:val="28"/>
          <w:szCs w:val="28"/>
        </w:rPr>
        <w:t>ì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rispetto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norme e la predisposizione delle misure necessarie a tutelare,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anche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attraverso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appositi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dispositivi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protezione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individuale,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l'integrit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fisica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morale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soggetti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messa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prova,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secondo quanto previsto dal decreto legislativo 9 aprile 2008, n. 81.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. In"/>
        </w:smartTagPr>
        <w:r w:rsidRPr="00E51D7F">
          <w:rPr>
            <w:rFonts w:ascii="Times New Roman" w:hAnsi="Times New Roman" w:cs="Times New Roman"/>
            <w:color w:val="000000"/>
            <w:sz w:val="28"/>
            <w:szCs w:val="28"/>
          </w:rPr>
          <w:t>3. In</w:t>
        </w:r>
      </w:smartTag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nessun caso l'attivit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pu</w:t>
      </w:r>
      <w:r>
        <w:rPr>
          <w:rFonts w:ascii="Times New Roman" w:hAnsi="Times New Roman" w:cs="Times New Roman"/>
          <w:color w:val="000000"/>
          <w:sz w:val="28"/>
          <w:szCs w:val="28"/>
        </w:rPr>
        <w:t>ò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svolgersi 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modo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impedire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l'esercizio dei fondamentali diritti umani o 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ledere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dignit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della persona.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4. Gli oneri per la copertura assicurativa contro gli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infortuni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le malattie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professionali,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nonch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é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riguardo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responsabilit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civile verso i terzi, dei soggetti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ammessi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lavoro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pubblica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sono a carico delle amministrazioni, delle organizzazioni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degli enti presso cui viene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svolta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l'attivit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gratuita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favore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 collettivit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. Nessun onere grava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carico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degli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organi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Ministero della Giustizia.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5. Lo svolgimento del lavoro di pubblica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utilit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ha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inizio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primo giorno in cui il soggetto si presenta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svolgere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propria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attivit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secondo le modalit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concordate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inserite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programma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 la messa alla prova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conclude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termine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indicato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giudice ai sensi dell'articolo 464-quinquies del codice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procedura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penale. La presenza </w:t>
      </w:r>
      <w:r>
        <w:rPr>
          <w:rFonts w:ascii="Times New Roman" w:hAnsi="Times New Roman" w:cs="Times New Roman"/>
          <w:color w:val="000000"/>
          <w:sz w:val="28"/>
          <w:szCs w:val="28"/>
        </w:rPr>
        <w:t>è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documentata su apposito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registro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mediante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mezzi di rilevazione elettronica.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6. Nel caso di impedimento a prestare la propria opera, per tutto 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parte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dell'orario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giornaliero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stabilito,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soggetto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tempestivo avviso per le vie brevi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all'ente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ospitante,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consegnando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successivamente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relativa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documentazione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giustificativa.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L'impedimento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derivante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malattia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infortunio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essere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documentato attraverso certificato medico, redatto dal medico curante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 da una struttura sanitaria pubblica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privata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convenzionata.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ogni caso la prestazione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lavorativa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resa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tutto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parte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dell'orario giornaliero previsto dovr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essere effettuata in un tempo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diverso, d'intesa fra le parti, nel termine fissato dal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giudice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 messa alla prova, fatti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salvi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ogni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caso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limiti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all'articolo 1, comma 2.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. L"/>
        </w:smartTagPr>
        <w:r w:rsidRPr="00E51D7F">
          <w:rPr>
            <w:rFonts w:ascii="Times New Roman" w:hAnsi="Times New Roman" w:cs="Times New Roman"/>
            <w:color w:val="000000"/>
            <w:sz w:val="28"/>
            <w:szCs w:val="28"/>
          </w:rPr>
          <w:t>7. L</w:t>
        </w:r>
      </w:smartTag>
      <w:r w:rsidRPr="00E51D7F">
        <w:rPr>
          <w:rFonts w:ascii="Times New Roman" w:hAnsi="Times New Roman" w:cs="Times New Roman"/>
          <w:color w:val="000000"/>
          <w:sz w:val="28"/>
          <w:szCs w:val="28"/>
        </w:rPr>
        <w:t>'impedimento allo svolgimento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prestazione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pubblica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utilit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dipendente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dalla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temporanea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impossibilit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dell'ente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ospitante a riceverla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determinato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giorno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orario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sar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comunicato,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anche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vie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brevi,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dall'ente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all'ufficio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esecuzione penale esterna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competente.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recupero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dell'orario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lavoro viene effettuato ai sensi del comma 8.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8. Le frazioni di ora non sono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utili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computo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dell'orario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lavoro ai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fini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svolgimento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prestazione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pubblica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per la messa alla prova. 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Art.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Accertamenti sulla prestazione del lavoro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1D7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convenzioni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regolati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aspetti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organizzativi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inerenti gli accertamenti sulla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regolarit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prestazione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retribuita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effettuati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dall'ufficio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esecuzione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penale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esterna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competente per l'esecuzione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provvedimento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sospensione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procedimento con messa alla prova tramite un funzionario incaricato.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. L"/>
        </w:smartTagPr>
        <w:r w:rsidRPr="00E51D7F">
          <w:rPr>
            <w:rFonts w:ascii="Times New Roman" w:hAnsi="Times New Roman" w:cs="Times New Roman"/>
            <w:color w:val="000000"/>
            <w:sz w:val="28"/>
            <w:szCs w:val="28"/>
          </w:rPr>
          <w:t>2.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E51D7F"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smartTag>
      <w:r w:rsidRPr="00E51D7F">
        <w:rPr>
          <w:rFonts w:ascii="Times New Roman" w:hAnsi="Times New Roman" w:cs="Times New Roman"/>
          <w:color w:val="000000"/>
          <w:sz w:val="28"/>
          <w:szCs w:val="28"/>
        </w:rPr>
        <w:t>'ente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ospitante,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attraverso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referente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indicato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convenzione, rende disponibili 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funzionario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incaricato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tutte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informazioni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richieste,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compresa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visione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l'eventuale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acquisizione di copia del registro delle presenze.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3. Nei casi in cui l'amministrazione, l'organizzazione o l'ente non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sia pi</w:t>
      </w:r>
      <w:r>
        <w:rPr>
          <w:rFonts w:ascii="Times New Roman" w:hAnsi="Times New Roman" w:cs="Times New Roman"/>
          <w:color w:val="000000"/>
          <w:sz w:val="28"/>
          <w:szCs w:val="28"/>
        </w:rPr>
        <w:t>ù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convenzionato o abbia cessato la propria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attivit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durante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l'esecuzione di un provvedimento di messa alla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prova,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l'ufficio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esecuzione penale esterna, appena ne riceve notizia, ne d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 immediata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comunicazione al giudice che ha disposto la sospensione 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processo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 messa alla prova, proponendo, se possibile, un diverso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la prosecuzione della prestazione di lavoro 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giudice decide ai sensi dell'articolo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464-quinquies,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comma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codice di procedura penale.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4. Nelle relazioni periodiche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conclusive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sull'andamento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messa alla prova di cui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all'articolo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141-ter,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commi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5,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decreto legislativo 28 luglio 1989, n. 271, l'ufficio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esecuzione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penale esterna riferisce anche 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regolarit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prestazione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 lavoro di pubblica utilit</w:t>
      </w:r>
      <w:r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. In caso di rifiuto del soggetto allo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svolgimento della prestazione,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à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immediata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comunicazione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giudice, per la decisione di cui all'articolo 168-quater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codice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penale. 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Art.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Elenco delle convenzioni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1D7F">
        <w:rPr>
          <w:rFonts w:ascii="Times New Roman" w:hAnsi="Times New Roman" w:cs="Times New Roman"/>
          <w:color w:val="000000"/>
          <w:sz w:val="28"/>
          <w:szCs w:val="28"/>
        </w:rPr>
        <w:t>1. Le convenzioni sottoscritte o cessate successivamente alla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data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 emanazione del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presente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regolamento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sono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pubblicate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sul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sito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internet del Ministero della giustizia, raggruppate per distretto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corte d'appello. 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Art.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Entrata in vigore </w:t>
      </w:r>
    </w:p>
    <w:p w:rsidR="009249AD" w:rsidRPr="00E51D7F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1D7F">
        <w:rPr>
          <w:rFonts w:ascii="Times New Roman" w:hAnsi="Times New Roman" w:cs="Times New Roman"/>
          <w:color w:val="000000"/>
          <w:sz w:val="28"/>
          <w:szCs w:val="28"/>
        </w:rPr>
        <w:t>1. Il presente decreto entra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vigore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giorno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successivo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quello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sua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pubblicazione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nella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Gazzetta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Ufficiale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>della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8"/>
          <w:szCs w:val="28"/>
        </w:rPr>
        <w:t xml:space="preserve">Repubblica italiana. </w:t>
      </w:r>
    </w:p>
    <w:p w:rsidR="009249AD" w:rsidRDefault="009249AD" w:rsidP="00E51D7F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49AD" w:rsidSect="00C42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English157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F31"/>
    <w:rsid w:val="00292F31"/>
    <w:rsid w:val="002B22CF"/>
    <w:rsid w:val="006E1449"/>
    <w:rsid w:val="00857D81"/>
    <w:rsid w:val="009249AD"/>
    <w:rsid w:val="00A46DAA"/>
    <w:rsid w:val="00A83E3B"/>
    <w:rsid w:val="00BA3B75"/>
    <w:rsid w:val="00C42397"/>
    <w:rsid w:val="00E36261"/>
    <w:rsid w:val="00E367AF"/>
    <w:rsid w:val="00E5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ssetto">
    <w:name w:val="grassetto"/>
    <w:basedOn w:val="Normal"/>
    <w:uiPriority w:val="99"/>
    <w:rsid w:val="00292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292F31"/>
    <w:rPr>
      <w:rFonts w:cs="Times New Roman"/>
    </w:rPr>
  </w:style>
  <w:style w:type="character" w:customStyle="1" w:styleId="riferimento">
    <w:name w:val="riferimento"/>
    <w:basedOn w:val="DefaultParagraphFont"/>
    <w:uiPriority w:val="99"/>
    <w:rsid w:val="00292F31"/>
    <w:rPr>
      <w:rFonts w:cs="Times New Roman"/>
    </w:rPr>
  </w:style>
  <w:style w:type="character" w:customStyle="1" w:styleId="rosso">
    <w:name w:val="rosso"/>
    <w:basedOn w:val="DefaultParagraphFont"/>
    <w:uiPriority w:val="99"/>
    <w:rsid w:val="00292F31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92F31"/>
    <w:rPr>
      <w:rFonts w:ascii="Courier New" w:hAnsi="Courier New" w:cs="Courier New"/>
      <w:sz w:val="20"/>
      <w:szCs w:val="20"/>
      <w:lang w:eastAsia="it-IT"/>
    </w:rPr>
  </w:style>
  <w:style w:type="paragraph" w:styleId="Caption">
    <w:name w:val="caption"/>
    <w:basedOn w:val="Normal"/>
    <w:next w:val="Normal"/>
    <w:uiPriority w:val="99"/>
    <w:qFormat/>
    <w:locked/>
    <w:rsid w:val="00A83E3B"/>
    <w:pPr>
      <w:spacing w:after="0" w:line="240" w:lineRule="auto"/>
      <w:jc w:val="center"/>
    </w:pPr>
    <w:rPr>
      <w:rFonts w:ascii="English157 BT" w:hAnsi="English157 BT"/>
      <w:sz w:val="7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162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1391</Words>
  <Characters>7933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Witzel</dc:creator>
  <cp:keywords/>
  <dc:description/>
  <cp:lastModifiedBy>antonell.valentino</cp:lastModifiedBy>
  <cp:revision>2</cp:revision>
  <dcterms:created xsi:type="dcterms:W3CDTF">2015-10-01T08:30:00Z</dcterms:created>
  <dcterms:modified xsi:type="dcterms:W3CDTF">2015-10-01T08:30:00Z</dcterms:modified>
</cp:coreProperties>
</file>